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ZH_KASSATIONSGERICHT AA040008, OG LQ030035 vom 13. Dezember 1995</w:t>
      </w:r>
    </w:p>
    <w:p>
      <w:r>
        <w:t>Zh Kassationsgericht, 1995-12-13, DE</w:t>
      </w:r>
    </w:p>
    <w:p>
      <w:r>
        <w:rPr>
          <w:b/>
        </w:rPr>
        <w:t xml:space="preserve">Quelle: </w:t>
      </w:r>
      <w:r>
        <w:t>https://mcp.opencaselaw.ch/entscheid/zh_kassationsgericht_AA040008, OG LQ030035</w:t>
      </w:r>
    </w:p>
    <w:p>
      <w:r>
        <w:t>FR: ZH_KASSATIONSGERICHT AA040008, OG LQ030035 du 13 décembre 1995</w:t>
      </w:r>
    </w:p>
    <w:p>
      <w:r>
        <w:t>IT: ZH_KASSATIONSGERICHT AA040008, OG LQ030035 del 13 dicembre 1995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Juni 2003 festhielt, der Beschwerdeführer sei seit 1983 ununterbrochen in der Stadt Zürich wohnhaft, so kann damit nicht ohne Weiteres auf die materielle Un- richtigkeit des Attestes von 1995 geschlossen werden. Doch selbst wenn dem so wäre, so wäre dennoch nicht von vornherein klar, dass das Bezirksgericht mit der Berücksichtigung dieses Attestes gegen § 183 Abs. 1 GVG (Erfordernis der "sachdienlichen Nachforschungen") verstossen hätte (zum Begriff der "sachdienli- chen Nachforschungen" vgl. Hauser/Schweri, Kommentar zum zürcherischen Ge- richtsverfassungsgesetz, Zürich 2002, N 5 ff. zu § 183 GVG). Ohne damit die Rechtmässigkeit des bezirksgerichtlichen Vorgehens im Jahre 1995 abschliessend zu beurteilen, ist zusammenfassend festzuhalten, dass die Durchführung des Säumnisverfahrens nicht offensichtlich (bzw. leicht erkenn- bar) unzulässig war. Soweit der Beschwerdeführer geltend macht, das Schei- dungsurteil sei nichtig und rechtlich unwirksam, ist die Rüge folglich abzuweisen." [Das Kassationsgericht kam in der Folge ebenfalls zum Schluss, der Kläger habe die einschlägigen Fristen nicht gewahrt, und wies die Nichtigkeitsbeschwerde ab.]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